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«Право»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Модели и методы прогнозирования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Государство и право. Основы конституционного права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государства и его признаки. Подходы к пониманию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Признаки государства. Сущность государства. Функции государства. Виды функций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гражданского права. Гражданские правоотношения.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919.1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прав потребителей.</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pPr>
              <w:jc w:val="left"/>
              <w:spacing w:after="0" w:line="240" w:lineRule="auto"/>
              <w:rPr>
                <w:sz w:val="24"/>
                <w:szCs w:val="24"/>
              </w:rPr>
            </w:pPr>
            <w:r>
              <w:rPr>
                <w:rFonts w:ascii="Times New Roman" w:hAnsi="Times New Roman" w:cs="Times New Roman"/>
                <w:color w:val="#000000"/>
                <w:sz w:val="24"/>
                <w:szCs w:val="24"/>
              </w:rPr>
              <w:t> Трудовое право.</w:t>
            </w:r>
          </w:p>
          <w:p>
            <w:pPr>
              <w:jc w:val="left"/>
              <w:spacing w:after="0" w:line="240" w:lineRule="auto"/>
              <w:rPr>
                <w:sz w:val="24"/>
                <w:szCs w:val="24"/>
              </w:rPr>
            </w:pPr>
            <w:r>
              <w:rPr>
                <w:rFonts w:ascii="Times New Roman" w:hAnsi="Times New Roman" w:cs="Times New Roman"/>
                <w:color w:val="#000000"/>
                <w:sz w:val="24"/>
                <w:szCs w:val="24"/>
              </w:rPr>
              <w:t> 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pPr>
              <w:jc w:val="left"/>
              <w:spacing w:after="0" w:line="240" w:lineRule="auto"/>
              <w:rPr>
                <w:sz w:val="24"/>
                <w:szCs w:val="24"/>
              </w:rPr>
            </w:pPr>
            <w:r>
              <w:rPr>
                <w:rFonts w:ascii="Times New Roman" w:hAnsi="Times New Roman" w:cs="Times New Roman"/>
                <w:color w:val="#000000"/>
                <w:sz w:val="24"/>
                <w:szCs w:val="24"/>
              </w:rPr>
              <w:t> Административное право и административный процесс.</w:t>
            </w:r>
          </w:p>
          <w:p>
            <w:pPr>
              <w:jc w:val="left"/>
              <w:spacing w:after="0" w:line="240" w:lineRule="auto"/>
              <w:rPr>
                <w:sz w:val="24"/>
                <w:szCs w:val="24"/>
              </w:rPr>
            </w:pPr>
            <w:r>
              <w:rPr>
                <w:rFonts w:ascii="Times New Roman" w:hAnsi="Times New Roman" w:cs="Times New Roman"/>
                <w:color w:val="#000000"/>
                <w:sz w:val="24"/>
                <w:szCs w:val="24"/>
              </w:rPr>
              <w:t> 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pPr>
              <w:jc w:val="left"/>
              <w:spacing w:after="0" w:line="240" w:lineRule="auto"/>
              <w:rPr>
                <w:sz w:val="24"/>
                <w:szCs w:val="24"/>
              </w:rPr>
            </w:pPr>
            <w:r>
              <w:rPr>
                <w:rFonts w:ascii="Times New Roman" w:hAnsi="Times New Roman" w:cs="Times New Roman"/>
                <w:color w:val="#000000"/>
                <w:sz w:val="24"/>
                <w:szCs w:val="24"/>
              </w:rPr>
              <w:t> Уголовное право и уголовный процесс.</w:t>
            </w:r>
          </w:p>
          <w:p>
            <w:pPr>
              <w:jc w:val="left"/>
              <w:spacing w:after="0" w:line="240" w:lineRule="auto"/>
              <w:rPr>
                <w:sz w:val="24"/>
                <w:szCs w:val="24"/>
              </w:rPr>
            </w:pPr>
            <w:r>
              <w:rPr>
                <w:rFonts w:ascii="Times New Roman" w:hAnsi="Times New Roman" w:cs="Times New Roman"/>
                <w:color w:val="#000000"/>
                <w:sz w:val="24"/>
                <w:szCs w:val="24"/>
              </w:rPr>
              <w:t> 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pPr>
              <w:jc w:val="left"/>
              <w:spacing w:after="0" w:line="240" w:lineRule="auto"/>
              <w:rPr>
                <w:sz w:val="24"/>
                <w:szCs w:val="24"/>
              </w:rPr>
            </w:pPr>
            <w:r>
              <w:rPr>
                <w:rFonts w:ascii="Times New Roman" w:hAnsi="Times New Roman" w:cs="Times New Roman"/>
                <w:color w:val="#000000"/>
                <w:sz w:val="24"/>
                <w:szCs w:val="24"/>
              </w:rPr>
              <w:t> Международное право как основа взаимоотношений государств мира.</w:t>
            </w:r>
          </w:p>
          <w:p>
            <w:pPr>
              <w:jc w:val="left"/>
              <w:spacing w:after="0" w:line="240" w:lineRule="auto"/>
              <w:rPr>
                <w:sz w:val="24"/>
                <w:szCs w:val="24"/>
              </w:rPr>
            </w:pPr>
            <w:r>
              <w:rPr>
                <w:rFonts w:ascii="Times New Roman" w:hAnsi="Times New Roman" w:cs="Times New Roman"/>
                <w:color w:val="#000000"/>
                <w:sz w:val="24"/>
                <w:szCs w:val="24"/>
              </w:rPr>
              <w:t> 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субъектов гражданских правоотношений. Физическое лицо как субъект права. Юридические лица как субъекты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сделки и ее виды. Формы сделок. Основания недействительности сделок. Представительство в сделках.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правовая культура и правовое поведение личности.</w:t>
            </w:r>
          </w:p>
          <w:p>
            <w:pPr>
              <w:jc w:val="left"/>
              <w:spacing w:after="0" w:line="240" w:lineRule="auto"/>
              <w:rPr>
                <w:sz w:val="24"/>
                <w:szCs w:val="24"/>
              </w:rPr>
            </w:pPr>
            <w:r>
              <w:rPr>
                <w:rFonts w:ascii="Times New Roman" w:hAnsi="Times New Roman" w:cs="Times New Roman"/>
                <w:color w:val="#000000"/>
                <w:sz w:val="24"/>
                <w:szCs w:val="24"/>
              </w:rPr>
              <w:t> Юридические факты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pPr>
              <w:jc w:val="left"/>
              <w:spacing w:after="0" w:line="240" w:lineRule="auto"/>
              <w:rPr>
                <w:sz w:val="24"/>
                <w:szCs w:val="24"/>
              </w:rPr>
            </w:pPr>
            <w:r>
              <w:rPr>
                <w:rFonts w:ascii="Times New Roman" w:hAnsi="Times New Roman" w:cs="Times New Roman"/>
                <w:color w:val="#000000"/>
                <w:sz w:val="24"/>
                <w:szCs w:val="24"/>
              </w:rPr>
              <w:t> Правовое сознание и его структура. Правовая психология. Правовая идеология.</w:t>
            </w:r>
          </w:p>
          <w:p>
            <w:pPr>
              <w:jc w:val="left"/>
              <w:spacing w:after="0" w:line="240" w:lineRule="auto"/>
              <w:rPr>
                <w:sz w:val="24"/>
                <w:szCs w:val="24"/>
              </w:rPr>
            </w:pPr>
            <w:r>
              <w:rPr>
                <w:rFonts w:ascii="Times New Roman" w:hAnsi="Times New Roman" w:cs="Times New Roman"/>
                <w:color w:val="#000000"/>
                <w:sz w:val="24"/>
                <w:szCs w:val="24"/>
              </w:rPr>
              <w:t> Правовая культура. Понятие правовой системы общества. Романо-германская правовая семья. Англо -саксонская правовая семья. Религиозно-правовая семья. Социалистическая правовая семья. Особенности правовой системы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зачетов по вопросам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915.5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государства и его признаки. Подходы к пониманию государства.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Жизнь людей в догосударственный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гражданского права. Гражданские правоотношения. Источники гражданского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w:t>
            </w:r>
          </w:p>
          <w:p>
            <w:pPr>
              <w:jc w:val="both"/>
              <w:spacing w:after="0" w:line="240" w:lineRule="auto"/>
              <w:rPr>
                <w:sz w:val="24"/>
                <w:szCs w:val="24"/>
              </w:rPr>
            </w:pPr>
            <w:r>
              <w:rPr>
                <w:rFonts w:ascii="Times New Roman" w:hAnsi="Times New Roman" w:cs="Times New Roman"/>
                <w:color w:val="#000000"/>
                <w:sz w:val="24"/>
                <w:szCs w:val="24"/>
              </w:rPr>
              <w:t>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Признаки государства. Сущность государства. Функции государства. Виды функций государства.</w:t>
            </w:r>
          </w:p>
        </w:tc>
      </w:tr>
      <w:tr>
        <w:trPr>
          <w:trHeight w:hRule="exact" w:val="21.31518"/>
        </w:trPr>
        <w:tc>
          <w:tcPr>
            <w:tcW w:w="9640" w:type="dxa"/>
          </w:tcPr>
          <w:p/>
        </w:tc>
      </w:tr>
      <w:tr>
        <w:trPr>
          <w:trHeight w:hRule="exact" w:val="573.74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 Конституция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 основной закон страны. Структура Конституции РФ. Основы конституционного строя России.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субъектов гражданских правоотношений. Физическое лицо как субъект права. Юридические лица как субъекты права.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 правовой ответственности. Способы защиты гражданских прав.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сделки и ее виды. Формы сделок. Основания недействительности сделок. Представительство в сделках.</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978-5-9916-4726-7.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https://www.biblio-online.ru/bcode/383781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Шишулина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https://urait.ru/bcode/416228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78.1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2024-2025_ФГОС3++2024_Бак-ЗФО-ПИ(24)_plx_Право_11111111</dc:title>
  <dc:creator>FastReport.NET</dc:creator>
</cp:coreProperties>
</file>